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131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2671"/>
        <w:gridCol w:w="2595"/>
        <w:gridCol w:w="915"/>
        <w:gridCol w:w="705"/>
        <w:gridCol w:w="765"/>
        <w:gridCol w:w="915"/>
        <w:gridCol w:w="1335"/>
        <w:gridCol w:w="26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82" w:type="dxa"/>
            <w:gridSpan w:val="9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冶炼公司牛山商务大厦部分房屋租赁明细表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被评估人（或产权持有人）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规划用途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面积（㎡）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单价（租金）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温州有色冶炼有限责任公司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牛山商务大厦1108室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框架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租赁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134.43 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温州有色冶炼有限责任公司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牛山商务大厦1112室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框架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租赁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168.65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温州有色冶炼有限责任公司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牛山商务大厦1506室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框架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租赁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169.01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温州有色冶炼有限责任公司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牛山商务大厦1507室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框架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租赁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161.24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温州有色冶炼有限责任公司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牛山商务大厦1609室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框架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租赁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132.68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小计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766.01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C36CF2"/>
    <w:rsid w:val="28D97B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谷田园</cp:lastModifiedBy>
  <dcterms:modified xsi:type="dcterms:W3CDTF">2021-07-28T08:37:29Z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